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2009/138 vom 20. August 2010</w:t>
      </w:r>
    </w:p>
    <w:p>
      <w:r>
        <w:t>Sg Versicherungsgericht, 2010-08-20, DE</w:t>
      </w:r>
    </w:p>
    <w:p>
      <w:r>
        <w:rPr>
          <w:b/>
        </w:rPr>
        <w:t xml:space="preserve">Quelle: </w:t>
      </w:r>
      <w:r>
        <w:t>https://mcp.opencaselaw.ch/entscheid/sg_publikationen_IV 2009_138</w:t>
      </w:r>
    </w:p>
    <w:p>
      <w:r>
        <w:t>FR: SG_VERSICHERUNGSGERICHT IV 2009/138 du 20 août 2010</w:t>
      </w:r>
    </w:p>
    <w:p>
      <w:r>
        <w:t>IT: SG_VERSICHERUNGSGERICHT IV 2009/138 del 20 agosto 2010</w:t>
      </w:r>
    </w:p>
    <w:p>
      <w:pPr>
        <w:pStyle w:val="Heading2"/>
      </w:pPr>
      <w:r>
        <w:t>Regeste</w:t>
      </w:r>
    </w:p>
    <w:p>
      <w:r>
        <w:t>Art. 28 IVG. Bei anderer Aufteilung der Arbeitszeit (zweimal drei Stunden statt vier Stunden am Stück) ist die Beschwerdeführerin in der Lage, ein rentenausschliessendes Einkommen zu erzielen (Entscheid des Versicherungsgerichts des Kantons St. Gallen vom 20. August 2010, IV 2009/138).</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25. März 2009,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w:t>
      </w:r>
    </w:p>
    <w:p>
      <w:r>
        <w:t>2.1   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3</w:t>
      </w:r>
    </w:p>
    <w:p>
      <w:r>
        <w:t>3.1   In medizinischer Hinsicht stützt sich die angefochtene Verfügung auf das ZMB-Gutachten vom 20. Februar 2007 (act. G 4.36). Die Beschwerdeführerin wendet ein, die von den Gutachtern attestierte Arbeitsfähigkeit von zweimal drei Stunden pro Tag sei nicht realisierbar, da sie sehr grosse Schmerzen habe. Dieser Auffassung sei auch Dr. A.___. Die Schmerzproblematik wurde im Gutachten jedoch berücksichtigt und ist insoweit auch in die Beurteilung der Arbeitsfähigkeit miteingeflossen. So haben die Gutachter die von der Beschwerdeführerin beklagten Beschwerden ausführlich thematisiert. Sie haben die betreffenden Äusserungen der Beschwerdeführerin als glaubwürdig taxiert und keine Anzeichen für Aggravation oder Simulation festgestellt, ihre Kollaboration sei einwandfrei. Im Rahmen der Gesamtwürdigung hielten die Gutachter fest, bei der Beschwerdeführerin bestehe ein komplexes Krankheitsbild. Einerseits habe sie im somatischen Bereich zwei Haupterkrankungen, nämlich ein chronisches Lumbovertebralsyndrom wie auch eine morbide Adipositas. Andererseits habe sie im psychiatrischen Bereich eine konversionsneurotische Störung. Sie (die Gutachter) seien der Ansicht, dass diese drei Erkrankungen miteinander interferierten. Insgesamt verursachten diese eine Einschränkung der Arbeitsfähigkeit der Beschwerdeführerin in ihrer Tätigkeit als Büroangestellte. Die Beschwerdeführerin sei in der Lage, zweimal drei Stunden in ihrer aktuellen Tätigkeit zu arbeiten. Auf Anfrage des Gerichts (act. G 10) begründeten die Gutachter die - im Vergleich zur Beurteilung von Dr. A.___ - höhere Arbeitsfähigkeitsschätzung damit, dass angesichts der diversen gesundheitlichen Störungen der Beschwerdeführerin eine halbtägige Tätigkeit mit vier Stunden am Stück nicht die idealen Voraussetzungen erfülle, um der eingeschränkten Belastbarkeit der Wirbelsäule Rechnung zu tragen. Eine Aufteilung der Tätigkeit in zwei Stücke wäre besser, wobei der Beschwerdeführerin ein dreistündiges Pensum pro Halbtag zuzumuten sei. Aufgrund der Kombination des chronischen Lumbovertebralsyndroms und der morbiden Adipositas sei eine längere Pause mit der Möglichkeit, sich zu bewegen, sicher indiziert. Ferner sei darauf hinzuweisen, dass Dr. A.___ der Beschwerdeführerin seit 2002 dauernd eine 50%ige Arbeitsfähigkeit diagnostiziere, dass jedoch eine solche Beurteilung in den darauf folgenden Jahren von anderen beurteilenden Ärzten nicht übernommen worden sei. Nach der Rehabilitationskur in der Klinik Valens sei der Beschwerdeführerin bei Entlassung eine reduzierte Arbeitsfähigkeit attestiert worden, doch sei darauf hingewiesen worden, dass eine Steigerung der Arbeitsfähigkeit in den darauf folgenden Wochen zu erwarten sei. Die vom ZMB attestierte Arbeitsfähigkeit von zweimal drei Stunden pro Tag könne aufgrund der Akten auf 1. Januar 2004 zurückdatiert werden (act. G 12). Diese Ausführungen sind nachvollziehbar und überzeugend. Es ist somit davon auszugehen, dass es sich bei der Einschätzung von Dr. A.___ um eine Beurteilung desselben Sachverhalts handelt, die vorliegend nicht geeignet ist, die Ergebnisse der interdisziplinären Untersuchung in Zweifel zu ziehen, zumal Dr. A.___ keine konkrete Kritik am Gutachten übt. 3.2   Soweit die Beschwerdeführerin im Rahmen der Replik vorbringt, in der Zwischenzeit hätten die angekündigten medizinisch-operativen Massnahmen durchgeführt werden können, und es sei mit einer Arbeitsunfähigkeit von 50% für mindestens zwei Jahre zu rechnen (act. G 6), kann darauf im vorliegenden Beschwerdeverfahren nicht eingegangen werden, da das Gericht in zeitlicher Hinsicht lediglich den Sachverhalt beurteilen kann, wie er sich bis zum Zeitpunkt des Erlasses der angefochtenen Verfügung entwickelt hat. Dasselbe gilt für die Ausführungen der Beschwerdeführerin in der Stellungnahme vom 6. Juli 2010 (act. G 15), soweit sie sich auf die Entwicklung (auch in Bezug auf das Arbeitsverhältnis) nach dem Zeitpunkt des Erlasses der angefochtenen Verfügung beziehen. Sollte sich der Gesundheitszustand der Beschwerdeführerin in der Zwischenzeit verschlechtert haben, steht ihr die Möglichkeit offen, sich gestützt darauf erneut zum Bezug von IV-Leistungen anzumelden. Soweit die Beschwerdeführerin vorbringt, eine Aufteilung ihres Arbeitstags in zwei Halbtage bringe für sie in erster Linie doppelten Aufwand (doppelter Arbeitsweg, mehr Stress), kann ihr nicht gefolgt werden, sollte sie die freie Zeit doch gemäss Gutachtern zur allgemeinen Mobilisation und einem adäquaten Muskeltraining nutzen. 3.3   Zusammengefasst bleibt damit festzuhalten, dass für die Beurteilung der Arbeitsfähigkeit auf das ZMB-Gutachten vom 20. Februar 2007 (act. G 4.36) abgestellt werden kann, wonach die Beschwerdeführerin die angestammte Tätigkeit als Büroangestellte (ebenso wie eine andere adaptierte Tätigkeit) während zweimal drei Stunden pro Tag ausüben kann.</w:t>
      </w:r>
    </w:p>
    <w:p>
      <w:r>
        <w:rPr>
          <w:b/>
        </w:rPr>
        <w:t>E. 4</w:t>
      </w:r>
    </w:p>
    <w:p>
      <w:r>
        <w:t>Zu prüfen bleibt damit, wie sich die Einschränkungen in der Arbeitsfähigkeit auf die erwerbliche Situation der Beschwerdeführerin auswirken. Bezüglich des Valideneinkommens wurde in der angefochtenen Verfügung zu Recht auf das Einkommen abgestellt, das die Beschwerdeführerin gemäss Angaben ihrer Arbeitgeberin im Jahr 2004 (Zeitpunkt des allfälligen Rentenbeginns) verdient hätte (vgl. act. G 4.9); dies wird von der Beschwerdeführerin auch gar nicht bestritten. Was das Invalideneinkommen anbelangt, wurde in der angefochtenen Verfügung auf das effektiv erzielte Einkommen der Beschwerdeführerin abgestellt, wobei dieses auf ein 75%-Pensum aufgerechnet wurde. In der Beschwerdeantwort macht die Beschwerdegegnerin geltend, die von den Gutachtern attestierte Arbeitsfähigkeit entspreche einem 80%-Pensum, womit sich der Invaliditätsgrad auf 20% reduziere. Dies trifft jedoch nicht zu. Gemäss Angaben der Arbeitgeberin der Beschwerdeführerin beträgt das normale Arbeitspensum acht Stunden pro Tag (act. G 4.9); die der Beschwerdeführerin zumutbare Restarbeitsfähigkeit von zweimal drei Stunden entspricht somit einem 75%-Pensum. Der der angefochtenen Verfügung zugrunde gelegte Einkommensvergleich ist somit grundsätzlich korrekt. Selbst wenn in diesem Zusammenhang die Annahme der Beschwerdegegnerin, wonach davon ausgegangen werden könne, dass die Beschwerdeführerin ihr derzeitiges Arbeitspensum (bei derselben Arbeitgeberin) von 50% auf 80% (richtig: 75%) aufstocken könne, nicht zutreffen sollte, wäre davon auszugehen, dass die Beschwerdeführerin auch bei einer anderen Arbeitgeberin in der Lage wäre, ein Einkommen in der (im Rahmen der angefochtenen Verfügung) angenommenen Grössenordnung von Fr. 40'950.-- zu erzielen, entspricht dieses doch in etwa dem LSE-Tabellenlohn für Frauen im Anforderungsniveau 3 (Berufs- und Fachkenntnisse vorausgesetzt) für das Jahr 2004. Damit hat die Beschwerdegegnerin das Rentenbegehren der Beschwerdeführerin zu Recht abgelehnt.</w:t>
      </w:r>
    </w:p>
    <w:p>
      <w:r>
        <w:rPr>
          <w:b/>
        </w:rPr>
        <w:t>E. 5</w:t>
      </w:r>
    </w:p>
    <w:p>
      <w:r>
        <w:t>5.1   Im Sinn der obigen Erwägungen ist die Beschwerde abzuweisen. 5.2   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Zwar unterliegt die Beschwerdeführerin, doch war der Sachverhalt im Zeitpunkt des Erlasses der angefochtenen Verfügung insofern zu wenig abgeklärt, als dem ZMB-Gutachten keine Begründung für die von Dr. A.___ abweichende Arbeitsfähigkeitsbeurteilung entnommen werden konnte, so dass das Gericht gezwungen war, Ergänzungsfragen an die Gutachter zu richten. Entsprechend hat die Beschwerdeführerin die Verfügung vom 25. März 2009 zu Recht angefochten; das Gericht hätte diese Verfügung auch aufheben und die Sache zu ergänzenden Abklärungen an die Beschwerdegegnerin zurückweisen können. Unter diesen Umständen rechtfertigt es sich, die Gerichtskosten der Beschwerdegegnerin aufzuerlegen. Diese wird zudem für die entstandenen Abklärungskosten in Höhe von Fr. 886.20 aufzukommen haben (vgl. act. G 14). Der Beschwerdeführerin ist der geleistete Kostenvorschuss von Fr. 600.-- zurückzuerstatten. Demgemäss hat das Versicherungsgericht im Zirkulationsverfahren gemäss Art. 53 GerG entschieden: 1.      Die Beschwerde wird abgewiesen. 2.      Die Beschwerdegegnerin bezahlt die Verfahrenskosten von Fr. 1'486.20.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